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66443" w14:textId="77777777" w:rsidR="00AA4CE4" w:rsidRPr="00871017" w:rsidRDefault="00AA4CE4">
      <w:pPr>
        <w:rPr>
          <w:rFonts w:ascii="Comic Sans MS" w:hAnsi="Comic Sans MS"/>
          <w:sz w:val="18"/>
          <w:szCs w:val="18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A14EB3" w:rsidRPr="00871017" w14:paraId="55A05D94" w14:textId="77777777" w:rsidTr="005922F7">
        <w:tc>
          <w:tcPr>
            <w:tcW w:w="9720" w:type="dxa"/>
            <w:gridSpan w:val="2"/>
            <w:shd w:val="clear" w:color="auto" w:fill="CC99FF"/>
          </w:tcPr>
          <w:p w14:paraId="08714991" w14:textId="77777777" w:rsidR="00AA4CE4" w:rsidRPr="00FF4E5A" w:rsidRDefault="00AA4CE4" w:rsidP="0082248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F4E5A">
              <w:rPr>
                <w:rFonts w:ascii="Comic Sans MS" w:hAnsi="Comic Sans MS"/>
                <w:b/>
                <w:sz w:val="22"/>
                <w:szCs w:val="22"/>
              </w:rPr>
              <w:t>Grade 3</w:t>
            </w:r>
          </w:p>
          <w:p w14:paraId="7D1FF073" w14:textId="77777777" w:rsidR="00A14EB3" w:rsidRPr="00FF4E5A" w:rsidRDefault="00DE6A3B" w:rsidP="0082248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F4E5A">
              <w:rPr>
                <w:rFonts w:ascii="Comic Sans MS" w:hAnsi="Comic Sans MS"/>
                <w:b/>
                <w:sz w:val="22"/>
                <w:szCs w:val="22"/>
              </w:rPr>
              <w:t>Unit Overview</w:t>
            </w:r>
          </w:p>
          <w:p w14:paraId="4D58757F" w14:textId="04B52728" w:rsidR="00A14EB3" w:rsidRPr="00871017" w:rsidRDefault="008822E6" w:rsidP="005148C0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Informational Writing: Reading, Research, and Writing in the Content Areas</w:t>
            </w:r>
            <w:r w:rsidR="00F72938" w:rsidRPr="00FF4E5A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14EB3" w:rsidRPr="00871017" w14:paraId="6C45F379" w14:textId="77777777" w:rsidTr="0082248D">
        <w:tc>
          <w:tcPr>
            <w:tcW w:w="2268" w:type="dxa"/>
            <w:shd w:val="clear" w:color="auto" w:fill="auto"/>
          </w:tcPr>
          <w:p w14:paraId="0432EBCF" w14:textId="77777777" w:rsidR="00A14EB3" w:rsidRPr="00871017" w:rsidRDefault="00DE6A3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1017">
              <w:rPr>
                <w:rFonts w:ascii="Comic Sans MS" w:hAnsi="Comic Sans MS"/>
                <w:b/>
                <w:sz w:val="22"/>
                <w:szCs w:val="22"/>
              </w:rPr>
              <w:t>Focus Teaching Points</w:t>
            </w:r>
          </w:p>
        </w:tc>
        <w:tc>
          <w:tcPr>
            <w:tcW w:w="7452" w:type="dxa"/>
            <w:shd w:val="clear" w:color="auto" w:fill="auto"/>
          </w:tcPr>
          <w:p w14:paraId="0B8E66A4" w14:textId="77777777" w:rsidR="009B56F6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Learning why and for what purposes scientists write (to capture learning, to develop ideas, to explore questions, to hypothesize answers, to teach, to inform, to inspire, and to persuade)</w:t>
            </w:r>
          </w:p>
          <w:p w14:paraId="71046828" w14:textId="77777777" w:rsidR="008822E6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Drawing from mentor texts for ideas about layout, structure and craft</w:t>
            </w:r>
          </w:p>
          <w:p w14:paraId="2B81F063" w14:textId="77777777" w:rsidR="008822E6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Organizing information learned from study into chapters, sections, and/or categories; making sure related information is grouped together</w:t>
            </w:r>
          </w:p>
          <w:p w14:paraId="435F48D9" w14:textId="77777777" w:rsidR="008822E6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Crediting texts and authors informally </w:t>
            </w:r>
          </w:p>
          <w:p w14:paraId="106B4D3B" w14:textId="77777777" w:rsidR="008822E6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Continuing to build stamina and volume in writing</w:t>
            </w:r>
          </w:p>
          <w:p w14:paraId="2FF31BB0" w14:textId="77777777" w:rsidR="008822E6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the writer’s notebook as a valuable resource throughout the writing process</w:t>
            </w:r>
          </w:p>
          <w:p w14:paraId="3EDDC9FD" w14:textId="77777777" w:rsidR="008822E6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Working with writing partners to develop ideas and gain feedback</w:t>
            </w:r>
          </w:p>
          <w:p w14:paraId="3AB4F565" w14:textId="77777777" w:rsidR="008822E6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Connecting ideas and information with linking words</w:t>
            </w:r>
          </w:p>
          <w:p w14:paraId="16C0468E" w14:textId="77777777" w:rsidR="008822E6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mentor texts to support revision</w:t>
            </w:r>
          </w:p>
          <w:p w14:paraId="10450ED6" w14:textId="77777777" w:rsidR="008822E6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Including text features to guide the reader</w:t>
            </w:r>
          </w:p>
          <w:p w14:paraId="53D5088C" w14:textId="77777777" w:rsidR="008822E6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Elaborating by asking a question and answering it, by sharing an anecdote, by giving an opinion, by giving an example, by comparing or contrasting a detail to something familiar to the reader</w:t>
            </w:r>
          </w:p>
          <w:p w14:paraId="2EB5CFCE" w14:textId="77777777" w:rsidR="008822E6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Reviewing paragraphs for clear topic sentence followed by supporting information</w:t>
            </w:r>
          </w:p>
          <w:p w14:paraId="4F865689" w14:textId="77777777" w:rsidR="008822E6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Revising headings and subheadings</w:t>
            </w:r>
          </w:p>
          <w:p w14:paraId="49375F0B" w14:textId="33B5E8EE" w:rsidR="008822E6" w:rsidRPr="00544B2C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introductions and conclusions</w:t>
            </w:r>
          </w:p>
        </w:tc>
      </w:tr>
      <w:tr w:rsidR="00DE6A3B" w:rsidRPr="00871017" w14:paraId="175A364D" w14:textId="77777777" w:rsidTr="0082248D">
        <w:tc>
          <w:tcPr>
            <w:tcW w:w="2268" w:type="dxa"/>
            <w:shd w:val="clear" w:color="auto" w:fill="auto"/>
          </w:tcPr>
          <w:p w14:paraId="529A57ED" w14:textId="6FB2A6CD" w:rsidR="00DE6A3B" w:rsidRPr="00871017" w:rsidRDefault="00DE6A3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1017">
              <w:rPr>
                <w:rFonts w:ascii="Comic Sans MS" w:hAnsi="Comic Sans MS"/>
                <w:b/>
                <w:sz w:val="22"/>
                <w:szCs w:val="22"/>
              </w:rPr>
              <w:t>Key CCSS Standards</w:t>
            </w:r>
          </w:p>
        </w:tc>
        <w:tc>
          <w:tcPr>
            <w:tcW w:w="7452" w:type="dxa"/>
            <w:shd w:val="clear" w:color="auto" w:fill="auto"/>
          </w:tcPr>
          <w:p w14:paraId="0838E387" w14:textId="77777777" w:rsidR="00CD0E2C" w:rsidRPr="00544B2C" w:rsidRDefault="00CD0E2C" w:rsidP="00CD0E2C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544B2C">
              <w:rPr>
                <w:rFonts w:ascii="Comic Sans MS" w:hAnsi="Comic Sans MS"/>
                <w:b/>
                <w:i/>
                <w:sz w:val="18"/>
                <w:szCs w:val="18"/>
              </w:rPr>
              <w:t>Writing Standards</w:t>
            </w:r>
            <w:r w:rsidRPr="00544B2C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544B2C">
              <w:rPr>
                <w:rFonts w:ascii="Comic Sans MS" w:hAnsi="Comic Sans MS"/>
                <w:b/>
                <w:i/>
                <w:sz w:val="18"/>
                <w:szCs w:val="18"/>
              </w:rPr>
              <w:t>(W)</w:t>
            </w:r>
          </w:p>
          <w:p w14:paraId="097D5A5C" w14:textId="4C8C9EAC" w:rsidR="00CD0E2C" w:rsidRPr="00544B2C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2,</w:t>
            </w:r>
            <w:r w:rsidR="003F402C">
              <w:rPr>
                <w:rFonts w:ascii="Comic Sans MS" w:hAnsi="Comic Sans MS"/>
                <w:i/>
                <w:sz w:val="18"/>
                <w:szCs w:val="18"/>
              </w:rPr>
              <w:t xml:space="preserve"> 4, 5, 6, 7, 8</w:t>
            </w:r>
            <w:r>
              <w:rPr>
                <w:rFonts w:ascii="Comic Sans MS" w:hAnsi="Comic Sans MS"/>
                <w:i/>
                <w:sz w:val="18"/>
                <w:szCs w:val="18"/>
              </w:rPr>
              <w:t>, 10</w:t>
            </w:r>
          </w:p>
          <w:p w14:paraId="7A2470FB" w14:textId="77777777" w:rsidR="00CD0E2C" w:rsidRPr="00544B2C" w:rsidRDefault="00CD0E2C" w:rsidP="00CD0E2C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544B2C">
              <w:rPr>
                <w:rFonts w:ascii="Comic Sans MS" w:hAnsi="Comic Sans MS"/>
                <w:b/>
                <w:i/>
                <w:sz w:val="18"/>
                <w:szCs w:val="18"/>
              </w:rPr>
              <w:t>Language Standards (L)</w:t>
            </w:r>
          </w:p>
          <w:p w14:paraId="5FD0FAC3" w14:textId="2385C7A3" w:rsidR="00AA4CE4" w:rsidRDefault="008822E6" w:rsidP="00CD0E2C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1, 2, 3, 4, 5, 6</w:t>
            </w:r>
          </w:p>
          <w:p w14:paraId="00067999" w14:textId="2B1FFB94" w:rsidR="008D74A7" w:rsidRPr="00544B2C" w:rsidRDefault="008D74A7" w:rsidP="008D74A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Speaking and Listening Standards</w:t>
            </w:r>
            <w:r w:rsidRPr="00544B2C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S</w:t>
            </w:r>
            <w:r w:rsidRPr="00544B2C">
              <w:rPr>
                <w:rFonts w:ascii="Comic Sans MS" w:hAnsi="Comic Sans MS"/>
                <w:b/>
                <w:i/>
                <w:sz w:val="18"/>
                <w:szCs w:val="18"/>
              </w:rPr>
              <w:t>L)</w:t>
            </w:r>
          </w:p>
          <w:p w14:paraId="17BBB6A2" w14:textId="0450A8E7" w:rsidR="008D74A7" w:rsidRPr="008D74A7" w:rsidRDefault="00076546" w:rsidP="008D74A7">
            <w:pPr>
              <w:numPr>
                <w:ilvl w:val="0"/>
                <w:numId w:val="2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1, 2, 3,</w:t>
            </w:r>
            <w:r w:rsidR="008822E6">
              <w:rPr>
                <w:rFonts w:ascii="Comic Sans MS" w:hAnsi="Comic Sans MS"/>
                <w:i/>
                <w:sz w:val="18"/>
                <w:szCs w:val="18"/>
              </w:rPr>
              <w:t xml:space="preserve"> 6</w:t>
            </w:r>
          </w:p>
        </w:tc>
      </w:tr>
      <w:tr w:rsidR="005115EF" w:rsidRPr="00871017" w14:paraId="06CEB769" w14:textId="77777777" w:rsidTr="0082248D">
        <w:tc>
          <w:tcPr>
            <w:tcW w:w="2268" w:type="dxa"/>
            <w:shd w:val="clear" w:color="auto" w:fill="auto"/>
          </w:tcPr>
          <w:p w14:paraId="4FEDE513" w14:textId="2A92707D" w:rsidR="005115EF" w:rsidRPr="00871017" w:rsidRDefault="005115E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1017">
              <w:rPr>
                <w:rFonts w:ascii="Comic Sans MS" w:hAnsi="Comic Sans MS"/>
                <w:b/>
                <w:sz w:val="22"/>
                <w:szCs w:val="22"/>
              </w:rPr>
              <w:t>Recommended Professional Resource</w:t>
            </w:r>
            <w:r>
              <w:rPr>
                <w:rFonts w:ascii="Comic Sans MS" w:hAnsi="Comic Sans MS"/>
                <w:b/>
                <w:sz w:val="22"/>
                <w:szCs w:val="22"/>
              </w:rPr>
              <w:t>(s)</w:t>
            </w:r>
            <w:r w:rsidRPr="00871017">
              <w:rPr>
                <w:rFonts w:ascii="Comic Sans MS" w:hAnsi="Comic Sans MS"/>
                <w:b/>
                <w:sz w:val="22"/>
                <w:szCs w:val="22"/>
              </w:rPr>
              <w:t xml:space="preserve"> to Guide Instruction</w:t>
            </w:r>
          </w:p>
        </w:tc>
        <w:tc>
          <w:tcPr>
            <w:tcW w:w="7452" w:type="dxa"/>
            <w:shd w:val="clear" w:color="auto" w:fill="auto"/>
          </w:tcPr>
          <w:p w14:paraId="33F87079" w14:textId="6B2C7AFC" w:rsidR="008E0517" w:rsidRPr="00571B24" w:rsidRDefault="00950042" w:rsidP="008E051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If you are using the resource </w:t>
            </w:r>
            <w:r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Elephants, Penguins, Frogs, Oh My!</w:t>
            </w:r>
            <w:r w:rsidR="00571B24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="00571B24" w:rsidRPr="00571B24">
              <w:rPr>
                <w:rFonts w:ascii="Comic Sans MS" w:hAnsi="Comic Sans MS"/>
                <w:b/>
                <w:i/>
                <w:sz w:val="18"/>
                <w:szCs w:val="18"/>
              </w:rPr>
              <w:t>to</w:t>
            </w:r>
            <w:proofErr w:type="gramEnd"/>
            <w:r w:rsidR="00571B24" w:rsidRPr="00571B24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teach the accompanying reading unit</w:t>
            </w:r>
            <w:r w:rsidRPr="00571B24">
              <w:rPr>
                <w:rFonts w:ascii="Comic Sans MS" w:hAnsi="Comic Sans MS"/>
                <w:b/>
                <w:i/>
                <w:sz w:val="18"/>
                <w:szCs w:val="18"/>
              </w:rPr>
              <w:t>:</w:t>
            </w:r>
          </w:p>
          <w:p w14:paraId="0455FD91" w14:textId="7F5EDF7B" w:rsidR="008E0517" w:rsidRDefault="008E0517" w:rsidP="008E05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We suggest students create information chapter books about one of the animals they researched </w:t>
            </w:r>
            <w:r w:rsidR="00950042">
              <w:rPr>
                <w:rFonts w:ascii="Comic Sans MS" w:hAnsi="Comic Sans MS"/>
                <w:sz w:val="18"/>
                <w:szCs w:val="18"/>
              </w:rPr>
              <w:t>during the reading workshop (probably the one they begin in the first bend).  The following unit has suggestions that support these teaching points:</w:t>
            </w:r>
          </w:p>
          <w:p w14:paraId="15878EA3" w14:textId="67692D9E" w:rsidR="008E0517" w:rsidRPr="00571B24" w:rsidRDefault="008E0517" w:rsidP="00571B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 w:rsidRPr="00571B24">
              <w:rPr>
                <w:rFonts w:ascii="Comic Sans MS" w:hAnsi="Comic Sans MS"/>
                <w:sz w:val="18"/>
                <w:szCs w:val="18"/>
              </w:rPr>
              <w:t>“Information Writing: Reading, Research, and</w:t>
            </w:r>
            <w:r w:rsidR="00E77C0C" w:rsidRPr="00571B24">
              <w:rPr>
                <w:rFonts w:ascii="Comic Sans MS" w:hAnsi="Comic Sans MS"/>
                <w:sz w:val="18"/>
                <w:szCs w:val="18"/>
              </w:rPr>
              <w:t xml:space="preserve"> Writing in the Content Areas” </w:t>
            </w:r>
            <w:r w:rsidRPr="00571B24">
              <w:rPr>
                <w:rFonts w:ascii="Comic Sans MS" w:hAnsi="Comic Sans MS"/>
                <w:sz w:val="18"/>
                <w:szCs w:val="18"/>
              </w:rPr>
              <w:t xml:space="preserve">from the </w:t>
            </w:r>
            <w:r w:rsidRPr="00571B24">
              <w:rPr>
                <w:rFonts w:ascii="Comic Sans MS" w:hAnsi="Comic Sans MS"/>
                <w:i/>
                <w:sz w:val="18"/>
                <w:szCs w:val="18"/>
              </w:rPr>
              <w:t>If . . .Then . . . Curriculum: Assessment-Based Instruction</w:t>
            </w:r>
            <w:r w:rsidR="003F402C">
              <w:rPr>
                <w:rFonts w:ascii="Comic Sans MS" w:hAnsi="Comic Sans MS"/>
                <w:i/>
                <w:sz w:val="18"/>
                <w:szCs w:val="18"/>
              </w:rPr>
              <w:t>, Grade 3</w:t>
            </w:r>
            <w:r w:rsidRPr="00571B24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571B24">
              <w:rPr>
                <w:rFonts w:ascii="Comic Sans MS" w:hAnsi="Comic Sans MS"/>
                <w:sz w:val="18"/>
                <w:szCs w:val="18"/>
              </w:rPr>
              <w:t xml:space="preserve">from the </w:t>
            </w:r>
            <w:r w:rsidRPr="00571B24">
              <w:rPr>
                <w:rFonts w:ascii="Comic Sans MS" w:hAnsi="Comic Sans MS"/>
                <w:i/>
                <w:sz w:val="18"/>
                <w:szCs w:val="18"/>
              </w:rPr>
              <w:t>Units of Reading</w:t>
            </w:r>
            <w:r w:rsidR="00E77C0C" w:rsidRPr="00571B24">
              <w:rPr>
                <w:rFonts w:ascii="Comic Sans MS" w:hAnsi="Comic Sans MS"/>
                <w:sz w:val="18"/>
                <w:szCs w:val="18"/>
              </w:rPr>
              <w:t xml:space="preserve"> (2015) by</w:t>
            </w:r>
            <w:r w:rsidRPr="00571B24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571B24">
              <w:rPr>
                <w:rFonts w:ascii="Comic Sans MS" w:hAnsi="Comic Sans MS"/>
                <w:sz w:val="18"/>
                <w:szCs w:val="18"/>
              </w:rPr>
              <w:t>Calkins with Julia Mooney</w:t>
            </w:r>
            <w:r w:rsidR="00E77C0C" w:rsidRPr="00571B24">
              <w:rPr>
                <w:rFonts w:ascii="Comic Sans MS" w:hAnsi="Comic Sans MS"/>
                <w:sz w:val="18"/>
                <w:szCs w:val="18"/>
              </w:rPr>
              <w:t>.  Thi</w:t>
            </w:r>
            <w:r w:rsidR="00295512">
              <w:rPr>
                <w:rFonts w:ascii="Comic Sans MS" w:hAnsi="Comic Sans MS"/>
                <w:sz w:val="18"/>
                <w:szCs w:val="18"/>
              </w:rPr>
              <w:t>s resource references (on page 17</w:t>
            </w:r>
            <w:bookmarkStart w:id="0" w:name="_GoBack"/>
            <w:bookmarkEnd w:id="0"/>
            <w:r w:rsidR="00E77C0C" w:rsidRPr="00571B24">
              <w:rPr>
                <w:rFonts w:ascii="Comic Sans MS" w:hAnsi="Comic Sans MS"/>
                <w:sz w:val="18"/>
                <w:szCs w:val="18"/>
              </w:rPr>
              <w:t xml:space="preserve">) the </w:t>
            </w:r>
            <w:r w:rsidRPr="00571B24">
              <w:rPr>
                <w:rFonts w:ascii="Comic Sans MS" w:hAnsi="Comic Sans MS"/>
                <w:i/>
                <w:sz w:val="18"/>
                <w:szCs w:val="18"/>
              </w:rPr>
              <w:t>Art of Information Writing</w:t>
            </w:r>
            <w:r w:rsidR="00E77C0C" w:rsidRPr="00571B24">
              <w:rPr>
                <w:rFonts w:ascii="Comic Sans MS" w:hAnsi="Comic Sans MS"/>
                <w:i/>
                <w:sz w:val="18"/>
                <w:szCs w:val="18"/>
              </w:rPr>
              <w:t xml:space="preserve">, </w:t>
            </w:r>
            <w:r w:rsidR="00E77C0C" w:rsidRPr="00571B24">
              <w:rPr>
                <w:rFonts w:ascii="Comic Sans MS" w:hAnsi="Comic Sans MS"/>
                <w:sz w:val="18"/>
                <w:szCs w:val="18"/>
              </w:rPr>
              <w:t xml:space="preserve">also from the </w:t>
            </w:r>
            <w:r w:rsidR="00E77C0C" w:rsidRPr="00571B24">
              <w:rPr>
                <w:rFonts w:ascii="Comic Sans MS" w:hAnsi="Comic Sans MS"/>
                <w:i/>
                <w:sz w:val="18"/>
                <w:szCs w:val="18"/>
              </w:rPr>
              <w:t>Units of Study for Teaching Reading.</w:t>
            </w:r>
          </w:p>
          <w:p w14:paraId="3543EC8B" w14:textId="77777777" w:rsidR="008E0517" w:rsidRDefault="008E0517" w:rsidP="008E051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477178D" w14:textId="12430683" w:rsidR="008E0517" w:rsidRDefault="008E0517" w:rsidP="008E051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571B24">
              <w:rPr>
                <w:rFonts w:ascii="Comic Sans MS" w:hAnsi="Comic Sans MS"/>
                <w:b/>
                <w:i/>
                <w:sz w:val="18"/>
                <w:szCs w:val="18"/>
              </w:rPr>
              <w:t>If you are</w:t>
            </w:r>
            <w:r w:rsidR="003F402C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using </w:t>
            </w:r>
            <w:r w:rsidR="00571B24">
              <w:rPr>
                <w:rFonts w:ascii="Comic Sans MS" w:hAnsi="Comic Sans MS"/>
                <w:b/>
                <w:i/>
                <w:sz w:val="18"/>
                <w:szCs w:val="18"/>
              </w:rPr>
              <w:t>the e-doc unit</w:t>
            </w:r>
            <w:r w:rsidR="003F402C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(from </w:t>
            </w:r>
            <w:r w:rsidR="003F402C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A Curricular Calendar</w:t>
            </w:r>
            <w:r w:rsidR="003F402C">
              <w:rPr>
                <w:rFonts w:ascii="Comic Sans MS" w:hAnsi="Comic Sans MS"/>
                <w:b/>
                <w:i/>
                <w:sz w:val="18"/>
                <w:szCs w:val="18"/>
              </w:rPr>
              <w:t>) to teach the accompanying reading unit</w:t>
            </w:r>
            <w:r w:rsidR="00571B24">
              <w:rPr>
                <w:rFonts w:ascii="Comic Sans MS" w:hAnsi="Comic Sans MS"/>
                <w:b/>
                <w:i/>
                <w:sz w:val="18"/>
                <w:szCs w:val="18"/>
              </w:rPr>
              <w:t>:</w:t>
            </w:r>
          </w:p>
          <w:p w14:paraId="5C653B9D" w14:textId="77777777" w:rsidR="00571B24" w:rsidRDefault="003F402C" w:rsidP="008E0517">
            <w:pPr>
              <w:rPr>
                <w:rFonts w:ascii="Comic Sans MS" w:hAnsi="Comic Sans MS"/>
                <w:sz w:val="18"/>
                <w:szCs w:val="18"/>
              </w:rPr>
            </w:pPr>
            <w:r w:rsidRPr="003F402C">
              <w:rPr>
                <w:rFonts w:ascii="Comic Sans MS" w:hAnsi="Comic Sans MS"/>
                <w:sz w:val="18"/>
                <w:szCs w:val="18"/>
              </w:rPr>
              <w:t>The following writing unit corresponds directly with th</w:t>
            </w:r>
            <w:r>
              <w:rPr>
                <w:rFonts w:ascii="Comic Sans MS" w:hAnsi="Comic Sans MS"/>
                <w:sz w:val="18"/>
                <w:szCs w:val="18"/>
              </w:rPr>
              <w:t>at unit:</w:t>
            </w:r>
          </w:p>
          <w:p w14:paraId="181DA359" w14:textId="77777777" w:rsidR="003F402C" w:rsidRDefault="003F402C" w:rsidP="003F40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“Informational Writing: Reading, Research, and Writing in the Content Areas” from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A Curricular Calendar for the Reading Workshop, Grade 3 </w:t>
            </w:r>
            <w:r>
              <w:rPr>
                <w:rFonts w:ascii="Comic Sans MS" w:hAnsi="Comic Sans MS"/>
                <w:sz w:val="18"/>
                <w:szCs w:val="18"/>
              </w:rPr>
              <w:t>(e-doc).</w:t>
            </w:r>
          </w:p>
          <w:p w14:paraId="488AF62C" w14:textId="77777777" w:rsidR="003F402C" w:rsidRDefault="003F402C" w:rsidP="003F402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79FC3D" w14:textId="7F7DD02D" w:rsidR="003F402C" w:rsidRPr="003F402C" w:rsidRDefault="003F402C" w:rsidP="003F402C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Please see your Literacy Coach for further clarification, recommendations, and tips for teaching this unit.</w:t>
            </w:r>
          </w:p>
        </w:tc>
      </w:tr>
    </w:tbl>
    <w:p w14:paraId="1C6AEDB0" w14:textId="44105B08" w:rsidR="00A14EB3" w:rsidRPr="00871017" w:rsidRDefault="00A14EB3" w:rsidP="0018271C">
      <w:pPr>
        <w:tabs>
          <w:tab w:val="left" w:pos="1665"/>
        </w:tabs>
        <w:rPr>
          <w:rFonts w:ascii="Comic Sans MS" w:hAnsi="Comic Sans MS"/>
          <w:sz w:val="18"/>
          <w:szCs w:val="18"/>
        </w:rPr>
      </w:pPr>
    </w:p>
    <w:sectPr w:rsidR="00A14EB3" w:rsidRPr="00871017" w:rsidSect="0018271C">
      <w:headerReference w:type="default" r:id="rId8"/>
      <w:footerReference w:type="default" r:id="rId9"/>
      <w:pgSz w:w="12240" w:h="15840"/>
      <w:pgMar w:top="1008" w:right="1260" w:bottom="100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8FFA4" w14:textId="77777777" w:rsidR="00571B24" w:rsidRDefault="00571B24">
      <w:r>
        <w:separator/>
      </w:r>
    </w:p>
  </w:endnote>
  <w:endnote w:type="continuationSeparator" w:id="0">
    <w:p w14:paraId="220F716A" w14:textId="77777777" w:rsidR="00571B24" w:rsidRDefault="0057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D60A2" w14:textId="41DB2203" w:rsidR="00571B24" w:rsidRPr="00205875" w:rsidRDefault="00571B24" w:rsidP="00CC6131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ab/>
      <w:t>Template a</w:t>
    </w:r>
    <w:r w:rsidRPr="0018271C">
      <w:rPr>
        <w:i/>
        <w:sz w:val="20"/>
        <w:szCs w:val="20"/>
      </w:rPr>
      <w:t xml:space="preserve">dapted from </w:t>
    </w:r>
    <w:r w:rsidRPr="0018271C">
      <w:rPr>
        <w:i/>
        <w:sz w:val="20"/>
        <w:szCs w:val="20"/>
        <w:u w:val="single"/>
      </w:rPr>
      <w:t>Growing Readers: Units of Study in the Primary Classroom</w:t>
    </w:r>
    <w:r w:rsidRPr="0018271C">
      <w:rPr>
        <w:i/>
        <w:sz w:val="20"/>
        <w:szCs w:val="20"/>
      </w:rPr>
      <w:t xml:space="preserve"> by Kathy Collins (2004</w:t>
    </w:r>
    <w:r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D4510" w14:textId="77777777" w:rsidR="00571B24" w:rsidRDefault="00571B24">
      <w:r>
        <w:separator/>
      </w:r>
    </w:p>
  </w:footnote>
  <w:footnote w:type="continuationSeparator" w:id="0">
    <w:p w14:paraId="35AAC421" w14:textId="77777777" w:rsidR="00571B24" w:rsidRDefault="00571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43395" w14:textId="6319FE8B" w:rsidR="00571B24" w:rsidRPr="00205875" w:rsidRDefault="00571B24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>Updated March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42F"/>
    <w:multiLevelType w:val="hybridMultilevel"/>
    <w:tmpl w:val="7212B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C2272"/>
    <w:multiLevelType w:val="hybridMultilevel"/>
    <w:tmpl w:val="53F8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36A3"/>
    <w:multiLevelType w:val="hybridMultilevel"/>
    <w:tmpl w:val="A654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C32AE"/>
    <w:multiLevelType w:val="hybridMultilevel"/>
    <w:tmpl w:val="FC10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A0B5D"/>
    <w:multiLevelType w:val="hybridMultilevel"/>
    <w:tmpl w:val="4F387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5485B"/>
    <w:multiLevelType w:val="hybridMultilevel"/>
    <w:tmpl w:val="0AF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273A"/>
    <w:multiLevelType w:val="hybridMultilevel"/>
    <w:tmpl w:val="2D988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FB3DD9"/>
    <w:multiLevelType w:val="hybridMultilevel"/>
    <w:tmpl w:val="D2E2B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127792"/>
    <w:multiLevelType w:val="hybridMultilevel"/>
    <w:tmpl w:val="B88A241A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>
    <w:nsid w:val="23262B32"/>
    <w:multiLevelType w:val="hybridMultilevel"/>
    <w:tmpl w:val="C5CA8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A6C34"/>
    <w:multiLevelType w:val="hybridMultilevel"/>
    <w:tmpl w:val="9B465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7F7904"/>
    <w:multiLevelType w:val="hybridMultilevel"/>
    <w:tmpl w:val="05CE262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544E6A06"/>
    <w:multiLevelType w:val="hybridMultilevel"/>
    <w:tmpl w:val="8CDA3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7254A0"/>
    <w:multiLevelType w:val="hybridMultilevel"/>
    <w:tmpl w:val="BE6CC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7F54FF"/>
    <w:multiLevelType w:val="hybridMultilevel"/>
    <w:tmpl w:val="F0DC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83870"/>
    <w:multiLevelType w:val="hybridMultilevel"/>
    <w:tmpl w:val="C3B21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83070B"/>
    <w:multiLevelType w:val="hybridMultilevel"/>
    <w:tmpl w:val="B426A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7887079"/>
    <w:multiLevelType w:val="hybridMultilevel"/>
    <w:tmpl w:val="5E987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106284"/>
    <w:multiLevelType w:val="hybridMultilevel"/>
    <w:tmpl w:val="38D6FA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FF0E26"/>
    <w:multiLevelType w:val="hybridMultilevel"/>
    <w:tmpl w:val="5A0A9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D85B36"/>
    <w:multiLevelType w:val="hybridMultilevel"/>
    <w:tmpl w:val="8580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8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20"/>
  </w:num>
  <w:num w:numId="14">
    <w:abstractNumId w:val="13"/>
  </w:num>
  <w:num w:numId="15">
    <w:abstractNumId w:val="11"/>
  </w:num>
  <w:num w:numId="16">
    <w:abstractNumId w:val="7"/>
  </w:num>
  <w:num w:numId="17">
    <w:abstractNumId w:val="5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B3"/>
    <w:rsid w:val="00076546"/>
    <w:rsid w:val="000A0205"/>
    <w:rsid w:val="000D1E02"/>
    <w:rsid w:val="001207D2"/>
    <w:rsid w:val="00123E01"/>
    <w:rsid w:val="0015412A"/>
    <w:rsid w:val="0018271C"/>
    <w:rsid w:val="00187EA6"/>
    <w:rsid w:val="001B72F6"/>
    <w:rsid w:val="001C6B2D"/>
    <w:rsid w:val="00205875"/>
    <w:rsid w:val="00241273"/>
    <w:rsid w:val="00255CE6"/>
    <w:rsid w:val="002660E0"/>
    <w:rsid w:val="002817CE"/>
    <w:rsid w:val="00282BE5"/>
    <w:rsid w:val="00285B4B"/>
    <w:rsid w:val="00295512"/>
    <w:rsid w:val="002B4CCA"/>
    <w:rsid w:val="002F5037"/>
    <w:rsid w:val="00330B7A"/>
    <w:rsid w:val="00381177"/>
    <w:rsid w:val="0039511D"/>
    <w:rsid w:val="003D48E7"/>
    <w:rsid w:val="003F402C"/>
    <w:rsid w:val="003F74EC"/>
    <w:rsid w:val="004768FB"/>
    <w:rsid w:val="004E276B"/>
    <w:rsid w:val="005115EF"/>
    <w:rsid w:val="005148C0"/>
    <w:rsid w:val="00520A1D"/>
    <w:rsid w:val="00544B2C"/>
    <w:rsid w:val="00564B32"/>
    <w:rsid w:val="00571B24"/>
    <w:rsid w:val="005922F7"/>
    <w:rsid w:val="005A6ED7"/>
    <w:rsid w:val="005B365D"/>
    <w:rsid w:val="005F4CBD"/>
    <w:rsid w:val="00670C11"/>
    <w:rsid w:val="00681818"/>
    <w:rsid w:val="006943E5"/>
    <w:rsid w:val="007315DB"/>
    <w:rsid w:val="00755BBB"/>
    <w:rsid w:val="007746EA"/>
    <w:rsid w:val="007A0E03"/>
    <w:rsid w:val="007A55A5"/>
    <w:rsid w:val="007E1569"/>
    <w:rsid w:val="0082248D"/>
    <w:rsid w:val="00843FDD"/>
    <w:rsid w:val="00862813"/>
    <w:rsid w:val="00871017"/>
    <w:rsid w:val="008822E6"/>
    <w:rsid w:val="008D74A7"/>
    <w:rsid w:val="008E0517"/>
    <w:rsid w:val="00934EAD"/>
    <w:rsid w:val="00950042"/>
    <w:rsid w:val="009619A5"/>
    <w:rsid w:val="009B56F6"/>
    <w:rsid w:val="00A0783B"/>
    <w:rsid w:val="00A14EB3"/>
    <w:rsid w:val="00A5353B"/>
    <w:rsid w:val="00A67590"/>
    <w:rsid w:val="00A7229F"/>
    <w:rsid w:val="00A72A1E"/>
    <w:rsid w:val="00A84133"/>
    <w:rsid w:val="00AA4CE4"/>
    <w:rsid w:val="00AE23CE"/>
    <w:rsid w:val="00AF12B3"/>
    <w:rsid w:val="00B64CB4"/>
    <w:rsid w:val="00B7651A"/>
    <w:rsid w:val="00BA5283"/>
    <w:rsid w:val="00BF6884"/>
    <w:rsid w:val="00C15682"/>
    <w:rsid w:val="00CC6131"/>
    <w:rsid w:val="00CD0E2C"/>
    <w:rsid w:val="00D05056"/>
    <w:rsid w:val="00D5658C"/>
    <w:rsid w:val="00DB0772"/>
    <w:rsid w:val="00DE3477"/>
    <w:rsid w:val="00DE6A3B"/>
    <w:rsid w:val="00E04CEF"/>
    <w:rsid w:val="00E20A32"/>
    <w:rsid w:val="00E26048"/>
    <w:rsid w:val="00E77C0C"/>
    <w:rsid w:val="00EC72D0"/>
    <w:rsid w:val="00F13E56"/>
    <w:rsid w:val="00F430DD"/>
    <w:rsid w:val="00F51934"/>
    <w:rsid w:val="00F72938"/>
    <w:rsid w:val="00F77476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1D3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2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71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AA4CE4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BF6884"/>
    <w:pPr>
      <w:ind w:left="720"/>
      <w:contextualSpacing/>
    </w:pPr>
  </w:style>
  <w:style w:type="character" w:styleId="Hyperlink">
    <w:name w:val="Hyperlink"/>
    <w:basedOn w:val="DefaultParagraphFont"/>
    <w:rsid w:val="00A675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43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2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71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AA4CE4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BF6884"/>
    <w:pPr>
      <w:ind w:left="720"/>
      <w:contextualSpacing/>
    </w:pPr>
  </w:style>
  <w:style w:type="character" w:styleId="Hyperlink">
    <w:name w:val="Hyperlink"/>
    <w:basedOn w:val="DefaultParagraphFont"/>
    <w:rsid w:val="00A675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43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Chart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Chart</dc:title>
  <dc:subject/>
  <dc:creator>tech</dc:creator>
  <cp:keywords/>
  <dc:description/>
  <cp:lastModifiedBy>Natalie LaCroix-White</cp:lastModifiedBy>
  <cp:revision>5</cp:revision>
  <cp:lastPrinted>2016-03-07T00:51:00Z</cp:lastPrinted>
  <dcterms:created xsi:type="dcterms:W3CDTF">2016-03-28T13:56:00Z</dcterms:created>
  <dcterms:modified xsi:type="dcterms:W3CDTF">2016-03-28T15:43:00Z</dcterms:modified>
</cp:coreProperties>
</file>